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t>入札を辞退した者又は入札書を提出しなかった者</w:t>
      </w:r>
    </w:p>
    <w:p w14:paraId="13FEE2C2" w14:textId="45689BB6"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471F6F31"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1596E261" w14:textId="1BF99820" w:rsidR="00F35A07" w:rsidRDefault="009C28E5" w:rsidP="00F35A07">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事後審査で、入札参加資格がない旨の事後審査結果通知を受けた者は、通知日の翌日から起算して３日（休日</w:t>
      </w:r>
      <w:r w:rsidR="00F35A07" w:rsidRPr="00042D33">
        <w:rPr>
          <w:rFonts w:ascii="ＭＳ 明朝" w:eastAsia="ＭＳ 明朝" w:hAnsi="ＭＳ 明朝" w:hint="eastAsia"/>
          <w:color w:val="000000" w:themeColor="text1"/>
          <w:spacing w:val="-2"/>
          <w:szCs w:val="21"/>
        </w:rPr>
        <w:t>（※）</w:t>
      </w:r>
      <w:r w:rsidRPr="00095059">
        <w:rPr>
          <w:rFonts w:ascii="ＭＳ 明朝" w:eastAsia="ＭＳ 明朝" w:hAnsi="ＭＳ 明朝" w:hint="eastAsia"/>
          <w:spacing w:val="-2"/>
          <w:szCs w:val="21"/>
        </w:rPr>
        <w:t>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p>
    <w:p w14:paraId="0A678487" w14:textId="77777777" w:rsidR="00F35A07" w:rsidRDefault="009C28E5" w:rsidP="00F35A07">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w:t>
      </w:r>
      <w:r w:rsidRPr="00095059">
        <w:rPr>
          <w:rFonts w:ascii="ＭＳ 明朝" w:eastAsia="ＭＳ 明朝" w:hAnsi="ＭＳ 明朝" w:hint="eastAsia"/>
          <w:spacing w:val="-2"/>
          <w:szCs w:val="21"/>
        </w:rPr>
        <w:lastRenderedPageBreak/>
        <w:t>い 。</w:t>
      </w:r>
    </w:p>
    <w:p w14:paraId="50A1B489" w14:textId="010DD315" w:rsidR="009C28E5" w:rsidRPr="00042D33" w:rsidRDefault="00F35A07" w:rsidP="00F35A07">
      <w:pPr>
        <w:autoSpaceDE w:val="0"/>
        <w:autoSpaceDN w:val="0"/>
        <w:ind w:leftChars="400" w:left="1355" w:hangingChars="250" w:hanging="515"/>
        <w:rPr>
          <w:rFonts w:ascii="ＭＳ 明朝" w:eastAsia="ＭＳ 明朝" w:hAnsi="ＭＳ 明朝"/>
          <w:color w:val="000000" w:themeColor="text1"/>
          <w:spacing w:val="-2"/>
          <w:szCs w:val="21"/>
        </w:rPr>
      </w:pPr>
      <w:r w:rsidRPr="00042D33">
        <w:rPr>
          <w:rFonts w:ascii="ＭＳ 明朝" w:eastAsia="ＭＳ 明朝" w:hAnsi="ＭＳ 明朝" w:hint="eastAsia"/>
          <w:color w:val="000000" w:themeColor="text1"/>
          <w:spacing w:val="-2"/>
          <w:szCs w:val="21"/>
        </w:rPr>
        <w:t>(※) 休日とは、大阪府の休日に関する条例(平成元年大阪府条例第2号)第2条第1項に規定する大阪府の休日をいう。</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32EEBB8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1A759B99" w14:textId="77777777" w:rsidR="003E6EE6" w:rsidRPr="00095059" w:rsidRDefault="003E6EE6" w:rsidP="00851960">
      <w:pPr>
        <w:widowControl/>
        <w:jc w:val="left"/>
        <w:rPr>
          <w:rFonts w:ascii="ＭＳ 明朝" w:eastAsia="ＭＳ 明朝" w:hAnsi="ＭＳ 明朝"/>
          <w:b/>
          <w:sz w:val="28"/>
          <w:szCs w:val="21"/>
        </w:rPr>
      </w:pPr>
      <w:r w:rsidRPr="00095059">
        <w:rPr>
          <w:rFonts w:ascii="ＭＳ 明朝" w:eastAsia="ＭＳ 明朝" w:hAnsi="ＭＳ 明朝"/>
          <w:b/>
          <w:sz w:val="28"/>
          <w:szCs w:val="21"/>
        </w:rPr>
        <w:br w:type="page"/>
      </w: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lastRenderedPageBreak/>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
                        <w:gridCol w:w="3141"/>
                      </w:tblGrid>
                      <w:tr w:rsidR="009960A0" w:rsidRPr="00197DC5" w14:paraId="4285B572" w14:textId="77777777" w:rsidTr="00D33BFB">
                        <w:trPr>
                          <w:trHeight w:val="435"/>
                        </w:trPr>
                        <w:tc>
                          <w:tcPr>
                            <w:tcW w:w="945" w:type="dxa"/>
                            <w:vAlign w:val="center"/>
                          </w:tcPr>
                          <w:p w14:paraId="64D7ADB5" w14:textId="7C2CE4E6" w:rsidR="009960A0" w:rsidRDefault="00F35A07" w:rsidP="00D33BFB">
                            <w:r>
                              <w:rPr>
                                <w:rFonts w:hint="eastAsia"/>
                              </w:rPr>
                              <w:t>委託</w:t>
                            </w:r>
                            <w:r w:rsidR="009960A0">
                              <w:rPr>
                                <w:rFonts w:hint="eastAsia"/>
                              </w:rPr>
                              <w:t>名</w:t>
                            </w:r>
                          </w:p>
                        </w:tc>
                        <w:tc>
                          <w:tcPr>
                            <w:tcW w:w="3210" w:type="dxa"/>
                          </w:tcPr>
                          <w:p w14:paraId="64D10A51" w14:textId="532351CC" w:rsidR="009960A0" w:rsidRPr="004F2A05" w:rsidRDefault="000A26DB" w:rsidP="004F2A05">
                            <w:pPr>
                              <w:rPr>
                                <w:sz w:val="20"/>
                                <w:szCs w:val="22"/>
                              </w:rPr>
                            </w:pPr>
                            <w:r>
                              <w:rPr>
                                <w:rFonts w:hint="eastAsia"/>
                              </w:rPr>
                              <w:t>○　○　○</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3B9B214B" w:rsidR="00A54F72" w:rsidRDefault="00A54F72" w:rsidP="009960A0">
                      <w:r>
                        <w:rPr>
                          <w:rFonts w:hint="eastAsia"/>
                        </w:rPr>
                        <w:t xml:space="preserve">　　　</w:t>
                      </w:r>
                      <w:r w:rsidR="000A26DB">
                        <w:rPr>
                          <w:rFonts w:hint="eastAsia"/>
                        </w:rPr>
                        <w:t>○　○　○（</w:t>
                      </w:r>
                      <w:r w:rsidR="00F12081">
                        <w:rPr>
                          <w:rFonts w:hint="eastAsia"/>
                        </w:rPr>
                        <w:t>←</w:t>
                      </w:r>
                      <w:r w:rsidR="00F35A07">
                        <w:rPr>
                          <w:rFonts w:hint="eastAsia"/>
                        </w:rPr>
                        <w:t>委託</w:t>
                      </w:r>
                      <w:r w:rsidR="000A26DB">
                        <w:rPr>
                          <w:rFonts w:hint="eastAsia"/>
                        </w:rPr>
                        <w:t>名を記載）</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EFB2" w14:textId="77777777" w:rsidR="00634EAE" w:rsidRDefault="00634EAE" w:rsidP="00D735CA">
      <w:r>
        <w:separator/>
      </w:r>
    </w:p>
  </w:endnote>
  <w:endnote w:type="continuationSeparator" w:id="0">
    <w:p w14:paraId="49575744" w14:textId="77777777" w:rsidR="00634EAE" w:rsidRDefault="00634EAE"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0E961" w14:textId="77777777" w:rsidR="00634EAE" w:rsidRDefault="00634EAE" w:rsidP="00D735CA">
      <w:r>
        <w:separator/>
      </w:r>
    </w:p>
  </w:footnote>
  <w:footnote w:type="continuationSeparator" w:id="0">
    <w:p w14:paraId="18CE3017" w14:textId="77777777" w:rsidR="00634EAE" w:rsidRDefault="00634EAE"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2D33"/>
    <w:rsid w:val="00043131"/>
    <w:rsid w:val="00056CE9"/>
    <w:rsid w:val="000571A2"/>
    <w:rsid w:val="00060D04"/>
    <w:rsid w:val="00086455"/>
    <w:rsid w:val="00095059"/>
    <w:rsid w:val="0009664D"/>
    <w:rsid w:val="000A15A1"/>
    <w:rsid w:val="000A26DB"/>
    <w:rsid w:val="000B72A4"/>
    <w:rsid w:val="000C051F"/>
    <w:rsid w:val="000C2EA3"/>
    <w:rsid w:val="000C67A2"/>
    <w:rsid w:val="000E3EFD"/>
    <w:rsid w:val="0010401C"/>
    <w:rsid w:val="00116AD8"/>
    <w:rsid w:val="001202AB"/>
    <w:rsid w:val="00122404"/>
    <w:rsid w:val="0014041B"/>
    <w:rsid w:val="0016381C"/>
    <w:rsid w:val="001700B1"/>
    <w:rsid w:val="001875F8"/>
    <w:rsid w:val="00191DE9"/>
    <w:rsid w:val="001946DB"/>
    <w:rsid w:val="00195E86"/>
    <w:rsid w:val="001A21A3"/>
    <w:rsid w:val="001A36B1"/>
    <w:rsid w:val="001B357C"/>
    <w:rsid w:val="001D565A"/>
    <w:rsid w:val="001E0E96"/>
    <w:rsid w:val="001E1B96"/>
    <w:rsid w:val="001F315E"/>
    <w:rsid w:val="0020693E"/>
    <w:rsid w:val="00213C8B"/>
    <w:rsid w:val="00220A73"/>
    <w:rsid w:val="002274CD"/>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B78C1"/>
    <w:rsid w:val="003D3AC7"/>
    <w:rsid w:val="003E18EA"/>
    <w:rsid w:val="003E3B71"/>
    <w:rsid w:val="003E53D9"/>
    <w:rsid w:val="003E6EE6"/>
    <w:rsid w:val="003F32D7"/>
    <w:rsid w:val="004558BA"/>
    <w:rsid w:val="00456CE7"/>
    <w:rsid w:val="00457042"/>
    <w:rsid w:val="00475276"/>
    <w:rsid w:val="00476B77"/>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34EAE"/>
    <w:rsid w:val="00652FF3"/>
    <w:rsid w:val="00656C9B"/>
    <w:rsid w:val="006958C4"/>
    <w:rsid w:val="006A2C9C"/>
    <w:rsid w:val="006D17F3"/>
    <w:rsid w:val="006E45F7"/>
    <w:rsid w:val="00705528"/>
    <w:rsid w:val="00712CFC"/>
    <w:rsid w:val="00742605"/>
    <w:rsid w:val="007527A5"/>
    <w:rsid w:val="00781018"/>
    <w:rsid w:val="007842A4"/>
    <w:rsid w:val="00784729"/>
    <w:rsid w:val="0078472D"/>
    <w:rsid w:val="00794C88"/>
    <w:rsid w:val="007C6BF2"/>
    <w:rsid w:val="007C6D88"/>
    <w:rsid w:val="007D061F"/>
    <w:rsid w:val="007E030C"/>
    <w:rsid w:val="007E59CE"/>
    <w:rsid w:val="008012DB"/>
    <w:rsid w:val="00826310"/>
    <w:rsid w:val="00851960"/>
    <w:rsid w:val="00853A6C"/>
    <w:rsid w:val="00853EF3"/>
    <w:rsid w:val="008C2774"/>
    <w:rsid w:val="008C63DF"/>
    <w:rsid w:val="008D2CDE"/>
    <w:rsid w:val="008D3097"/>
    <w:rsid w:val="008F0BE5"/>
    <w:rsid w:val="008F602A"/>
    <w:rsid w:val="00934858"/>
    <w:rsid w:val="00947309"/>
    <w:rsid w:val="00974B6E"/>
    <w:rsid w:val="0099143F"/>
    <w:rsid w:val="009923A8"/>
    <w:rsid w:val="00994D44"/>
    <w:rsid w:val="009960A0"/>
    <w:rsid w:val="009A690B"/>
    <w:rsid w:val="009B00C9"/>
    <w:rsid w:val="009B4642"/>
    <w:rsid w:val="009C11C9"/>
    <w:rsid w:val="009C28E5"/>
    <w:rsid w:val="009C322C"/>
    <w:rsid w:val="009C32D5"/>
    <w:rsid w:val="009C7DA4"/>
    <w:rsid w:val="009D1D75"/>
    <w:rsid w:val="009D4B0F"/>
    <w:rsid w:val="009E12CD"/>
    <w:rsid w:val="009E3652"/>
    <w:rsid w:val="009F2B97"/>
    <w:rsid w:val="009F74CA"/>
    <w:rsid w:val="00A0086C"/>
    <w:rsid w:val="00A13C53"/>
    <w:rsid w:val="00A22CFB"/>
    <w:rsid w:val="00A31FAE"/>
    <w:rsid w:val="00A36951"/>
    <w:rsid w:val="00A41467"/>
    <w:rsid w:val="00A54F72"/>
    <w:rsid w:val="00A663D4"/>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6DE1"/>
    <w:rsid w:val="00C032BB"/>
    <w:rsid w:val="00C06368"/>
    <w:rsid w:val="00C20452"/>
    <w:rsid w:val="00C367C2"/>
    <w:rsid w:val="00C36F00"/>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A2D84"/>
    <w:rsid w:val="00DB57BA"/>
    <w:rsid w:val="00DD00B4"/>
    <w:rsid w:val="00DE16F4"/>
    <w:rsid w:val="00DE7396"/>
    <w:rsid w:val="00DF2727"/>
    <w:rsid w:val="00E20A21"/>
    <w:rsid w:val="00E6575F"/>
    <w:rsid w:val="00E8160D"/>
    <w:rsid w:val="00E8653D"/>
    <w:rsid w:val="00EA2800"/>
    <w:rsid w:val="00EB49D5"/>
    <w:rsid w:val="00EB7105"/>
    <w:rsid w:val="00EC7C55"/>
    <w:rsid w:val="00ED0D2C"/>
    <w:rsid w:val="00EE1A82"/>
    <w:rsid w:val="00EF7A38"/>
    <w:rsid w:val="00F12081"/>
    <w:rsid w:val="00F2146B"/>
    <w:rsid w:val="00F21F32"/>
    <w:rsid w:val="00F2662A"/>
    <w:rsid w:val="00F3063E"/>
    <w:rsid w:val="00F35A07"/>
    <w:rsid w:val="00F41160"/>
    <w:rsid w:val="00F527DD"/>
    <w:rsid w:val="00F673F1"/>
    <w:rsid w:val="00F93A00"/>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6523</Words>
  <Characters>729</Characters>
  <Application>Microsoft Office Word</Application>
  <DocSecurity>0</DocSecurity>
  <Lines>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公社0010</cp:lastModifiedBy>
  <cp:revision>16</cp:revision>
  <cp:lastPrinted>2021-06-11T06:07:00Z</cp:lastPrinted>
  <dcterms:created xsi:type="dcterms:W3CDTF">2023-10-17T04:21:00Z</dcterms:created>
  <dcterms:modified xsi:type="dcterms:W3CDTF">2025-06-30T06:41:00Z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